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rFonts w:ascii="Arial" w:hAnsi="Arial" w:cs="Arial"/>
          <w:b/>
          <w:b/>
          <w:sz w:val="18"/>
          <w:szCs w:val="18"/>
        </w:rPr>
      </w:pPr>
      <w:r>
        <w:rPr>
          <w:rFonts w:cs="Arial" w:ascii="Arial" w:hAnsi="Arial"/>
          <w:b/>
          <w:sz w:val="18"/>
          <w:szCs w:val="18"/>
        </w:rPr>
      </w:r>
    </w:p>
    <w:p>
      <w:pPr>
        <w:pStyle w:val="PlainText1"/>
        <w:spacing w:lineRule="auto" w:line="312"/>
        <w:jc w:val="center"/>
        <w:rPr/>
      </w:pPr>
      <w:r>
        <w:rPr>
          <w:rFonts w:cs="Arial" w:ascii="Arial" w:hAnsi="Arial"/>
          <w:b/>
          <w:sz w:val="18"/>
          <w:szCs w:val="18"/>
        </w:rPr>
        <w:t xml:space="preserve">Umowa  nr  …………………. DOSTAWA </w:t>
      </w:r>
    </w:p>
    <w:p>
      <w:pPr>
        <w:pStyle w:val="Normal"/>
        <w:spacing w:lineRule="auto" w:line="312"/>
        <w:jc w:val="center"/>
        <w:rPr>
          <w:rFonts w:ascii="Arial" w:hAnsi="Arial" w:eastAsia="Calibri"/>
          <w:color w:val="000000"/>
          <w:sz w:val="18"/>
          <w:szCs w:val="18"/>
          <w:lang w:eastAsia="en-US"/>
        </w:rPr>
      </w:pPr>
      <w:r>
        <w:rPr>
          <w:rFonts w:eastAsia="Calibri" w:ascii="Arial" w:hAnsi="Arial"/>
          <w:color w:val="000000"/>
          <w:sz w:val="18"/>
          <w:szCs w:val="18"/>
          <w:lang w:eastAsia="en-US"/>
        </w:rPr>
        <w:t>EZ/664/411-01/23</w:t>
      </w:r>
    </w:p>
    <w:p>
      <w:pPr>
        <w:pStyle w:val="PlainText1"/>
        <w:spacing w:lineRule="auto" w:line="312"/>
        <w:jc w:val="center"/>
        <w:rPr>
          <w:rFonts w:ascii="Arial" w:hAnsi="Arial" w:cs="Arial"/>
          <w:sz w:val="18"/>
          <w:szCs w:val="18"/>
        </w:rPr>
      </w:pPr>
      <w:r>
        <w:rPr>
          <w:rFonts w:cs="Arial" w:ascii="Arial" w:hAnsi="Arial"/>
          <w:sz w:val="18"/>
          <w:szCs w:val="18"/>
        </w:rPr>
      </w:r>
    </w:p>
    <w:p>
      <w:pPr>
        <w:pStyle w:val="Wcicietrecitekstu"/>
        <w:spacing w:lineRule="auto" w:line="312" w:before="120" w:after="120"/>
        <w:ind w:left="0" w:hanging="0"/>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r>
        <w:rPr>
          <w:rFonts w:cs="Arial" w:ascii="Arial" w:hAnsi="Arial"/>
          <w:sz w:val="18"/>
          <w:szCs w:val="18"/>
        </w:rPr>
        <w:t>który reprezentuje:</w:t>
      </w:r>
    </w:p>
    <w:p>
      <w:pPr>
        <w:pStyle w:val="PlainText1"/>
        <w:spacing w:lineRule="auto" w:line="312"/>
        <w:rPr>
          <w:rFonts w:ascii="Arial" w:hAnsi="Arial" w:cs="Arial"/>
          <w:sz w:val="18"/>
          <w:szCs w:val="18"/>
        </w:rPr>
      </w:pPr>
      <w:r>
        <w:rPr>
          <w:rFonts w:cs="Arial" w:ascii="Arial" w:hAnsi="Arial"/>
          <w:sz w:val="18"/>
          <w:szCs w:val="18"/>
        </w:rPr>
      </w:r>
    </w:p>
    <w:p>
      <w:pPr>
        <w:pStyle w:val="PlainText1"/>
        <w:spacing w:lineRule="auto" w:line="312"/>
        <w:rPr/>
      </w:pPr>
      <w:r>
        <w:rPr>
          <w:rFonts w:cs="Arial" w:ascii="Arial" w:hAnsi="Arial"/>
          <w:sz w:val="18"/>
          <w:szCs w:val="18"/>
        </w:rPr>
        <w:t>1) …………………………………..</w:t>
      </w:r>
    </w:p>
    <w:p>
      <w:pPr>
        <w:pStyle w:val="PlainText1"/>
        <w:spacing w:lineRule="auto" w:line="312"/>
        <w:rPr/>
      </w:pPr>
      <w:r>
        <w:rPr>
          <w:rFonts w:cs="Arial" w:ascii="Arial" w:hAnsi="Arial"/>
          <w:sz w:val="18"/>
          <w:szCs w:val="18"/>
        </w:rPr>
        <w:t>2) …………………………………...</w:t>
      </w:r>
    </w:p>
    <w:p>
      <w:pPr>
        <w:pStyle w:val="PlainText1"/>
        <w:spacing w:lineRule="auto" w:line="312"/>
        <w:rPr/>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p>
    <w:p>
      <w:pPr>
        <w:pStyle w:val="PlainText1"/>
        <w:spacing w:lineRule="auto" w:line="312"/>
        <w:rPr/>
      </w:pPr>
      <w:r>
        <w:rPr>
          <w:rFonts w:cs="Arial" w:ascii="Arial" w:hAnsi="Arial"/>
          <w:b/>
          <w:i/>
          <w:sz w:val="18"/>
          <w:szCs w:val="18"/>
        </w:rPr>
        <w:t xml:space="preserve">a </w:t>
      </w:r>
    </w:p>
    <w:p>
      <w:pPr>
        <w:pStyle w:val="PlainText1"/>
        <w:spacing w:lineRule="auto" w:line="312"/>
        <w:rPr/>
      </w:pPr>
      <w:r>
        <w:rPr>
          <w:rFonts w:cs="Arial" w:ascii="Arial" w:hAnsi="Arial"/>
          <w:sz w:val="18"/>
          <w:szCs w:val="18"/>
        </w:rPr>
        <w:t>…………………………………………</w:t>
      </w:r>
      <w:r>
        <w:rPr>
          <w:rFonts w:cs="Arial" w:ascii="Arial" w:hAnsi="Arial"/>
          <w:sz w:val="18"/>
          <w:szCs w:val="18"/>
        </w:rPr>
        <w:t>..</w:t>
      </w:r>
    </w:p>
    <w:p>
      <w:pPr>
        <w:pStyle w:val="Tekstwstpniesformatowany"/>
        <w:spacing w:lineRule="auto" w:line="312"/>
        <w:rPr/>
      </w:pPr>
      <w:r>
        <w:rPr>
          <w:rFonts w:cs="Arial" w:ascii="Arial" w:hAnsi="Arial"/>
          <w:sz w:val="18"/>
          <w:szCs w:val="18"/>
        </w:rPr>
        <w:t>…………………………………………</w:t>
      </w:r>
      <w:r>
        <w:rPr>
          <w:rFonts w:cs="Arial" w:ascii="Arial" w:hAnsi="Arial"/>
          <w:sz w:val="18"/>
          <w:szCs w:val="18"/>
        </w:rPr>
        <w:t>..</w:t>
      </w:r>
    </w:p>
    <w:p>
      <w:pPr>
        <w:pStyle w:val="Tekstwstpniesformatowany"/>
        <w:spacing w:lineRule="auto" w:line="312"/>
        <w:rPr/>
      </w:pPr>
      <w:r>
        <w:rPr>
          <w:rFonts w:cs="Arial" w:ascii="Arial" w:hAnsi="Arial"/>
          <w:sz w:val="18"/>
          <w:szCs w:val="18"/>
        </w:rPr>
        <w:t>…………………………………………</w:t>
      </w:r>
      <w:r>
        <w:rPr>
          <w:rFonts w:cs="Arial" w:ascii="Arial" w:hAnsi="Arial"/>
          <w:sz w:val="18"/>
          <w:szCs w:val="18"/>
        </w:rPr>
        <w:t>..</w:t>
      </w:r>
    </w:p>
    <w:p>
      <w:pPr>
        <w:pStyle w:val="PlainText1"/>
        <w:spacing w:lineRule="auto" w:line="312"/>
        <w:rPr/>
      </w:pPr>
      <w:r>
        <w:rPr>
          <w:rFonts w:cs="Arial" w:ascii="Arial" w:hAnsi="Arial"/>
          <w:bCs/>
          <w:sz w:val="18"/>
          <w:szCs w:val="18"/>
        </w:rPr>
        <w:t>…………………………………………</w:t>
      </w:r>
      <w:r>
        <w:rPr>
          <w:rFonts w:cs="Arial" w:ascii="Arial" w:hAnsi="Arial"/>
          <w:bCs/>
          <w:sz w:val="18"/>
          <w:szCs w:val="18"/>
        </w:rPr>
        <w:t>.</w:t>
      </w:r>
    </w:p>
    <w:p>
      <w:pPr>
        <w:pStyle w:val="PlainText1"/>
        <w:spacing w:lineRule="auto" w:line="312"/>
        <w:rPr>
          <w:rFonts w:ascii="Arial" w:hAnsi="Arial" w:cs="Arial"/>
          <w:bCs/>
          <w:sz w:val="18"/>
          <w:szCs w:val="18"/>
        </w:rPr>
      </w:pPr>
      <w:r>
        <w:rPr>
          <w:rFonts w:cs="Arial" w:ascii="Arial" w:hAnsi="Arial"/>
          <w:bCs/>
          <w:sz w:val="18"/>
          <w:szCs w:val="18"/>
        </w:rPr>
      </w:r>
    </w:p>
    <w:p>
      <w:pPr>
        <w:pStyle w:val="PlainText1"/>
        <w:spacing w:lineRule="auto" w:line="312"/>
        <w:rPr/>
      </w:pPr>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tabs>
          <w:tab w:val="left" w:pos="735" w:leader="none"/>
        </w:tabs>
        <w:spacing w:lineRule="auto" w:line="312"/>
        <w:ind w:left="0" w:hanging="0"/>
        <w:jc w:val="both"/>
        <w:rPr>
          <w:sz w:val="20"/>
        </w:rPr>
      </w:pPr>
      <w:r>
        <w:rPr>
          <w:rFonts w:cs="Arial" w:ascii="Arial" w:hAnsi="Arial"/>
          <w:sz w:val="18"/>
          <w:szCs w:val="18"/>
        </w:rPr>
        <w:t>1.   Niniejsza umowa dotyczy gromadzenia, testowania, przechowywania i dystrybucji komórek i tkanek zgodnie  z §20 i §21 Rozporządzenia Ministra Zdrowia z dnia 26 października 2018r. w sprawie szczegółowych warunków pobierania, przechowywania i przeszczepiania komórek, tkanek i narządów (Dz.U.2018.2060)  oraz  d</w:t>
      </w:r>
      <w:r>
        <w:rPr>
          <w:rFonts w:ascii="Arial" w:hAnsi="Arial"/>
          <w:sz w:val="18"/>
          <w:szCs w:val="18"/>
        </w:rPr>
        <w:t>ostawy przez bank tkanek na rzecz podmiotu leczniczego allogenicznych i autologicznych przeszczepów biostatycznych wymienionych w załączniku nr 1 do niniejszej umowy.</w:t>
      </w:r>
    </w:p>
    <w:p>
      <w:pPr>
        <w:pStyle w:val="ListParagraph"/>
        <w:widowControl w:val="false"/>
        <w:tabs>
          <w:tab w:val="left" w:pos="735" w:leader="none"/>
        </w:tabs>
        <w:spacing w:lineRule="auto" w:line="312"/>
        <w:ind w:left="0" w:hanging="0"/>
        <w:rPr>
          <w:rFonts w:ascii="Arial" w:hAnsi="Arial" w:cs="Arial"/>
          <w:sz w:val="18"/>
          <w:szCs w:val="18"/>
        </w:rPr>
      </w:pPr>
      <w:r>
        <w:rPr>
          <w:rFonts w:cs="Arial" w:ascii="Arial" w:hAnsi="Arial"/>
          <w:sz w:val="18"/>
          <w:szCs w:val="18"/>
        </w:rPr>
      </w:r>
    </w:p>
    <w:p>
      <w:pPr>
        <w:pStyle w:val="ListParagraph"/>
        <w:widowControl w:val="false"/>
        <w:tabs>
          <w:tab w:val="left" w:pos="735" w:leader="none"/>
        </w:tabs>
        <w:spacing w:lineRule="auto" w:line="312"/>
        <w:ind w:left="0" w:hanging="0"/>
        <w:jc w:val="both"/>
        <w:rPr/>
      </w:pPr>
      <w:r>
        <w:rPr>
          <w:rFonts w:cs="Arial" w:ascii="Arial" w:hAnsi="Arial"/>
          <w:sz w:val="18"/>
          <w:szCs w:val="18"/>
        </w:rPr>
        <w:t>Pod pojęciem współpracy w zakresie:</w:t>
      </w:r>
    </w:p>
    <w:p>
      <w:pPr>
        <w:pStyle w:val="ListParagraph"/>
        <w:widowControl w:val="false"/>
        <w:tabs>
          <w:tab w:val="left" w:pos="735" w:leader="none"/>
        </w:tabs>
        <w:spacing w:lineRule="auto" w:line="312"/>
        <w:ind w:left="0" w:hanging="0"/>
        <w:jc w:val="both"/>
        <w:rPr/>
      </w:pPr>
      <w:r>
        <w:rPr>
          <w:rFonts w:cs="Arial" w:ascii="Arial" w:hAnsi="Arial"/>
          <w:sz w:val="18"/>
          <w:szCs w:val="18"/>
        </w:rPr>
        <w:t>1.1. testowania rozumie się wykonywanie badań w kierunku chorób zakaźnych wymaganych dla kwalifikacji dawców tkanek mięśniowo-szkieletowych,</w:t>
      </w:r>
    </w:p>
    <w:p>
      <w:pPr>
        <w:pStyle w:val="ListParagraph"/>
        <w:widowControl w:val="false"/>
        <w:tabs>
          <w:tab w:val="left" w:pos="735" w:leader="none"/>
        </w:tabs>
        <w:spacing w:lineRule="auto" w:line="312"/>
        <w:ind w:left="0" w:hanging="0"/>
        <w:jc w:val="both"/>
        <w:rPr/>
      </w:pPr>
      <w:r>
        <w:rPr>
          <w:rFonts w:cs="Arial" w:ascii="Arial" w:hAnsi="Arial"/>
          <w:sz w:val="18"/>
          <w:szCs w:val="18"/>
        </w:rPr>
        <w:t>1.2. przechowywania rozumie się utrzymywanie przeszczepów we właściwie kontrolowanych warunkach do chwili ich dystrybucji,</w:t>
      </w:r>
    </w:p>
    <w:p>
      <w:pPr>
        <w:pStyle w:val="ListParagraph"/>
        <w:widowControl w:val="false"/>
        <w:tabs>
          <w:tab w:val="left" w:pos="735" w:leader="none"/>
        </w:tabs>
        <w:spacing w:lineRule="auto" w:line="312"/>
        <w:ind w:left="0" w:hanging="0"/>
        <w:jc w:val="both"/>
        <w:rPr/>
      </w:pPr>
      <w:r>
        <w:rPr>
          <w:rFonts w:cs="Arial" w:ascii="Arial" w:hAnsi="Arial"/>
          <w:sz w:val="18"/>
          <w:szCs w:val="18"/>
        </w:rPr>
        <w:t>1.3. dystrybucji rozumie się transport i dostarczenie przeszczepów do odbiorcy.</w:t>
      </w:r>
    </w:p>
    <w:p>
      <w:pPr>
        <w:pStyle w:val="ListParagraph"/>
        <w:widowControl w:val="false"/>
        <w:tabs>
          <w:tab w:val="left" w:pos="735" w:leader="none"/>
        </w:tabs>
        <w:spacing w:lineRule="auto" w:line="312"/>
        <w:ind w:left="0" w:hanging="0"/>
        <w:jc w:val="both"/>
        <w:rPr/>
      </w:pPr>
      <w:r>
        <w:rPr>
          <w:rFonts w:cs="Arial" w:ascii="Arial" w:hAnsi="Arial"/>
          <w:sz w:val="18"/>
          <w:szCs w:val="18"/>
        </w:rPr>
        <w:t xml:space="preserve">Koszty czynności wymienionych w pkt. 1.1 i 1.2 powinny zostać uwzględnione w opłacie za oferowane przeszczepy. </w:t>
      </w:r>
    </w:p>
    <w:p>
      <w:pPr>
        <w:pStyle w:val="ListParagraph"/>
        <w:widowControl w:val="false"/>
        <w:tabs>
          <w:tab w:val="left" w:pos="735" w:leader="none"/>
        </w:tabs>
        <w:spacing w:lineRule="auto" w:line="312"/>
        <w:ind w:left="0" w:hanging="0"/>
        <w:jc w:val="both"/>
        <w:rPr/>
      </w:pPr>
      <w:r>
        <w:rPr>
          <w:rFonts w:cs="Arial" w:ascii="Arial" w:hAnsi="Arial"/>
          <w:sz w:val="18"/>
          <w:szCs w:val="18"/>
        </w:rPr>
        <w:t>Zakres współpracy dotyczy jedynie przeszczepów komórek i tkanek będących w ofercie banku tkanek i obejmuje wyłącznie czynności wymienione wyraźnie w umowie.</w:t>
      </w:r>
    </w:p>
    <w:p>
      <w:pPr>
        <w:pStyle w:val="ListParagraph"/>
        <w:widowControl w:val="false"/>
        <w:spacing w:lineRule="auto" w:line="312"/>
        <w:ind w:left="0" w:hanging="0"/>
        <w:jc w:val="both"/>
        <w:rPr/>
      </w:pPr>
      <w:r>
        <w:rPr>
          <w:rFonts w:cs="Arial" w:ascii="Arial" w:hAnsi="Arial"/>
          <w:sz w:val="18"/>
          <w:szCs w:val="18"/>
        </w:rPr>
        <w:t>2.   Wykonawca zobowiązuje się przenieść na Zamawiającego własność produktów i wydać mu produkty, a Zamawiający zobowiązuje się produkty odebrać i zapłacić  wykonawcy cenę.</w:t>
      </w:r>
    </w:p>
    <w:p>
      <w:pPr>
        <w:pStyle w:val="ListParagraph"/>
        <w:widowControl w:val="false"/>
        <w:spacing w:lineRule="auto" w:line="312"/>
        <w:ind w:left="0" w:hanging="0"/>
        <w:jc w:val="both"/>
        <w:rPr/>
      </w:pPr>
      <w:r>
        <w:rPr>
          <w:rFonts w:cs="Arial" w:ascii="Arial" w:hAnsi="Arial"/>
          <w:sz w:val="18"/>
          <w:szCs w:val="18"/>
        </w:rPr>
        <w:t>3.  Realizacja niniejszej umowy odbywać się będzie z uwzględnieniem przepisów wynikających z obowiązujących aktów prawnych, a w szczególności z ustawy z dnia 1 lipca 2005r. o pobieraniu, przechowywaniu i przeszczepianiu komórek, tkanek i narządów (t.j.Dz.U.2020.2134) oraz obowiązujących aktów wykonawczych w tym w szczególności rozporządzeniaz dnia 22 marca 2010r. w sprawie szczegółowego sposobu ustalania kosztów czynności związanych z pobieraniem, przechowywaniem, przetwarzaniem, sterylizacją i dystrybucją komórek, tkanek i narządów (Dz.U.2020.2365) oraz rozporządzenia z dnia 26 października 2018r. w sprawie szczegółowych warunków pobierania, przechowywania i przeszczepiania komórek, tkanek i narządów (Dz.U.2018.2060).</w:t>
      </w:r>
    </w:p>
    <w:p>
      <w:pPr>
        <w:pStyle w:val="Normal"/>
        <w:spacing w:lineRule="auto" w:line="312" w:before="120" w:after="0"/>
        <w:jc w:val="center"/>
        <w:rPr>
          <w:rFonts w:ascii="Arial" w:hAnsi="Arial" w:cs="Arial"/>
          <w:b/>
          <w:b/>
          <w:sz w:val="18"/>
          <w:szCs w:val="18"/>
        </w:rPr>
      </w:pPr>
      <w:r>
        <w:rPr>
          <w:rFonts w:cs="Arial" w:ascii="Arial" w:hAnsi="Arial"/>
          <w:b/>
          <w:sz w:val="18"/>
          <w:szCs w:val="18"/>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left" w:pos="285" w:leader="none"/>
        </w:tabs>
        <w:spacing w:lineRule="auto" w:line="312"/>
        <w:ind w:left="284" w:hanging="284"/>
        <w:rPr/>
      </w:pPr>
      <w:r>
        <w:rPr>
          <w:rFonts w:cs="Arial" w:ascii="Arial" w:hAnsi="Arial"/>
          <w:sz w:val="18"/>
          <w:szCs w:val="18"/>
        </w:rPr>
        <w:t>Realizacja dostaw produktów, o których mowa w § 1 umowy, następować będzie na podstawie  zamówień cząstkowych składanych przez Zamawiającego  zgodnie z załącznikiem nr 1 do umowy.</w:t>
      </w:r>
    </w:p>
    <w:p>
      <w:pPr>
        <w:pStyle w:val="Normal"/>
        <w:numPr>
          <w:ilvl w:val="1"/>
          <w:numId w:val="2"/>
        </w:numPr>
        <w:tabs>
          <w:tab w:val="left" w:pos="285" w:leader="none"/>
        </w:tabs>
        <w:spacing w:lineRule="auto" w:line="312"/>
        <w:ind w:left="284" w:hanging="284"/>
        <w:jc w:val="both"/>
        <w:rPr/>
      </w:pPr>
      <w:r>
        <w:rPr>
          <w:rFonts w:cs="Arial" w:ascii="Arial" w:hAnsi="Arial"/>
          <w:sz w:val="18"/>
          <w:szCs w:val="18"/>
        </w:rPr>
        <w:t xml:space="preserve">Zamówione w formie pisemnej produkty, o którym mowa w ust. 1 powyżej, Wykonawca zobowiązuje się dostarczać do siedziby Zamawiającego do miejsca wskazanego przez Zamawiającego środkiem transportu we własnym zakresie i na własny koszt w terminie nie dłuższym niż </w:t>
      </w:r>
      <w:r>
        <w:rPr>
          <w:rFonts w:cs="Arial" w:ascii="Arial" w:hAnsi="Arial"/>
          <w:iCs/>
          <w:sz w:val="18"/>
          <w:szCs w:val="18"/>
        </w:rPr>
        <w:t xml:space="preserve"> 2 miesiące</w:t>
      </w:r>
    </w:p>
    <w:p>
      <w:pPr>
        <w:pStyle w:val="Normal"/>
        <w:numPr>
          <w:ilvl w:val="1"/>
          <w:numId w:val="2"/>
        </w:numPr>
        <w:tabs>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widowControl w:val="false"/>
        <w:tabs>
          <w:tab w:val="left" w:pos="285" w:leader="none"/>
        </w:tabs>
        <w:spacing w:lineRule="auto" w:line="312"/>
        <w:ind w:left="284" w:hanging="284"/>
        <w:jc w:val="both"/>
        <w:rPr>
          <w:rFonts w:ascii="Arial" w:hAnsi="Arial" w:cs="Arial"/>
          <w:sz w:val="18"/>
          <w:szCs w:val="18"/>
        </w:rPr>
      </w:pPr>
      <w:r>
        <w:rPr>
          <w:rFonts w:cs="Arial" w:ascii="Arial" w:hAnsi="Arial"/>
          <w:sz w:val="18"/>
          <w:szCs w:val="18"/>
        </w:rPr>
      </w:r>
    </w:p>
    <w:p>
      <w:pPr>
        <w:pStyle w:val="Normal"/>
        <w:widowControl w:val="false"/>
        <w:numPr>
          <w:ilvl w:val="1"/>
          <w:numId w:val="2"/>
        </w:numPr>
        <w:tabs>
          <w:tab w:val="left" w:pos="285" w:leader="none"/>
        </w:tabs>
        <w:spacing w:lineRule="auto" w:line="312"/>
        <w:ind w:left="284" w:hanging="284"/>
        <w:jc w:val="both"/>
        <w:rPr/>
      </w:pPr>
      <w:r>
        <w:rPr>
          <w:rFonts w:cs="Arial" w:ascii="Arial" w:hAnsi="Arial"/>
          <w:sz w:val="18"/>
          <w:szCs w:val="18"/>
        </w:rPr>
        <w:t>Zamawiający jest zobowiązany do sprawdzenia zawartości przesyłki z przeszczepami niezwłocznie po jej doręczeniu, a w razie stwierdzenia jakichkolwiek nieprawidłowości zobowiązany jest do ich niezwłocznego zgłoszenia Bankowi Tkanek W razie braku takiego zgłoszenia przyjmuje się, że przeszczepy zostały doręczone zgodnie z umową i odpowiednimi przepisami.</w:t>
      </w:r>
    </w:p>
    <w:p>
      <w:pPr>
        <w:pStyle w:val="Normal"/>
        <w:keepNext w:val="true"/>
        <w:tabs>
          <w:tab w:val="left" w:pos="840" w:leader="none"/>
        </w:tabs>
        <w:spacing w:lineRule="auto" w:line="312" w:before="120" w:after="0"/>
        <w:jc w:val="center"/>
        <w:rPr/>
      </w:pPr>
      <w:r>
        <w:rPr>
          <w:rFonts w:cs="Arial" w:ascii="Arial" w:hAnsi="Arial"/>
          <w:b/>
          <w:sz w:val="18"/>
          <w:szCs w:val="18"/>
        </w:rPr>
        <w:t>§ 3.</w:t>
      </w:r>
    </w:p>
    <w:p>
      <w:pPr>
        <w:pStyle w:val="Normal"/>
        <w:keepNext w:val="true"/>
        <w:spacing w:lineRule="auto" w:line="312"/>
        <w:jc w:val="center"/>
        <w:rPr/>
      </w:pPr>
      <w:r>
        <w:rPr>
          <w:rFonts w:cs="Arial" w:ascii="Arial" w:hAnsi="Arial"/>
          <w:b/>
          <w:i/>
          <w:sz w:val="18"/>
          <w:szCs w:val="18"/>
        </w:rPr>
        <w:t>Zobowiązania Wykonawcy</w:t>
      </w:r>
    </w:p>
    <w:p>
      <w:pPr>
        <w:pStyle w:val="Normal"/>
        <w:widowControl w:val="false"/>
        <w:numPr>
          <w:ilvl w:val="1"/>
          <w:numId w:val="9"/>
        </w:numPr>
        <w:tabs>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9"/>
        </w:numPr>
        <w:tabs>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spacing w:lineRule="auto" w:line="312"/>
        <w:jc w:val="both"/>
        <w:rPr/>
      </w:pPr>
      <w:r>
        <w:rPr>
          <w:rFonts w:cs="Arial" w:ascii="Arial" w:hAnsi="Arial"/>
          <w:sz w:val="18"/>
          <w:szCs w:val="18"/>
        </w:rPr>
        <w:t>3.   Wykonawca zobowiązuje się przedłożyć, na każde pisemne żądanie Zamawiającego, w terminie wyznaczonym w żądaniu, dokumenty</w:t>
      </w:r>
    </w:p>
    <w:p>
      <w:pPr>
        <w:pStyle w:val="Normal"/>
        <w:tabs>
          <w:tab w:val="left" w:pos="285" w:leader="none"/>
        </w:tabs>
        <w:spacing w:lineRule="auto" w:line="312"/>
        <w:jc w:val="both"/>
        <w:rPr/>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p>
    <w:p>
      <w:pPr>
        <w:pStyle w:val="Normal"/>
        <w:tabs>
          <w:tab w:val="left" w:pos="285" w:leader="none"/>
        </w:tabs>
        <w:spacing w:lineRule="auto" w:line="312"/>
        <w:jc w:val="both"/>
        <w:rPr/>
      </w:pPr>
      <w:r>
        <w:rPr>
          <w:rFonts w:cs="Arial" w:ascii="Arial" w:hAnsi="Arial"/>
          <w:sz w:val="18"/>
          <w:szCs w:val="18"/>
        </w:rPr>
        <w:t xml:space="preserve">     </w:t>
      </w:r>
      <w:r>
        <w:rPr>
          <w:rFonts w:cs="Arial" w:ascii="Arial" w:hAnsi="Arial"/>
          <w:sz w:val="18"/>
          <w:szCs w:val="18"/>
        </w:rPr>
        <w:t xml:space="preserve">ustawy z dnia 7 kwietnia 2022 r. o wyrobach medycznych (t.j.: Dz. U. z 2022r., poz. 974 ). </w:t>
      </w:r>
    </w:p>
    <w:p>
      <w:pPr>
        <w:pStyle w:val="Normal"/>
        <w:widowControl w:val="false"/>
        <w:tabs>
          <w:tab w:val="left" w:pos="285" w:leader="none"/>
        </w:tabs>
        <w:spacing w:lineRule="auto" w:line="312"/>
        <w:jc w:val="both"/>
        <w:rPr/>
      </w:pPr>
      <w:r>
        <w:rPr>
          <w:rFonts w:cs="Arial" w:ascii="Arial" w:hAnsi="Arial"/>
          <w:sz w:val="18"/>
          <w:szCs w:val="18"/>
        </w:rPr>
        <w:t>4.   Wykonawca nie będzie wnosił roszczeń do Zamawiającego w przypadku ograniczenia przez Zamawiającego pełnej ilości  przedmiotu</w:t>
      </w:r>
    </w:p>
    <w:p>
      <w:pPr>
        <w:pStyle w:val="Normal"/>
        <w:widowControl w:val="false"/>
        <w:tabs>
          <w:tab w:val="left" w:pos="285" w:leader="none"/>
        </w:tabs>
        <w:spacing w:lineRule="auto" w:line="312"/>
        <w:jc w:val="both"/>
        <w:rPr/>
      </w:pPr>
      <w:r>
        <w:rPr>
          <w:rFonts w:cs="Arial" w:ascii="Arial" w:hAnsi="Arial"/>
          <w:sz w:val="18"/>
          <w:szCs w:val="18"/>
        </w:rPr>
        <w:t xml:space="preserve">     </w:t>
      </w:r>
      <w:r>
        <w:rPr>
          <w:rFonts w:cs="Arial" w:ascii="Arial" w:hAnsi="Arial"/>
          <w:sz w:val="18"/>
          <w:szCs w:val="18"/>
        </w:rPr>
        <w:t xml:space="preserve">umowy    </w:t>
      </w:r>
    </w:p>
    <w:p>
      <w:pPr>
        <w:pStyle w:val="Normal"/>
        <w:keepNext w:val="true"/>
        <w:tabs>
          <w:tab w:val="left" w:pos="840" w:leader="none"/>
        </w:tabs>
        <w:spacing w:lineRule="auto" w:line="312" w:before="120" w:after="0"/>
        <w:jc w:val="center"/>
        <w:rPr/>
      </w:pPr>
      <w:r>
        <w:rPr>
          <w:rFonts w:cs="Arial" w:ascii="Arial" w:hAnsi="Arial"/>
          <w:b/>
          <w:sz w:val="18"/>
          <w:szCs w:val="18"/>
        </w:rPr>
        <w:t>§ 4.</w:t>
      </w:r>
    </w:p>
    <w:p>
      <w:pPr>
        <w:pStyle w:val="Normal"/>
        <w:keepNext w:val="true"/>
        <w:spacing w:lineRule="auto" w:line="312"/>
        <w:jc w:val="center"/>
        <w:rPr/>
      </w:pPr>
      <w:r>
        <w:rPr>
          <w:rFonts w:cs="Arial" w:ascii="Arial" w:hAnsi="Arial"/>
          <w:b/>
          <w:i/>
          <w:sz w:val="18"/>
          <w:szCs w:val="18"/>
        </w:rPr>
        <w:t>Zobowiązania  Zamawiającego</w:t>
      </w:r>
    </w:p>
    <w:p>
      <w:pPr>
        <w:pStyle w:val="Normal"/>
        <w:widowControl w:val="false"/>
        <w:tabs>
          <w:tab w:val="left" w:pos="285" w:leader="none"/>
        </w:tabs>
        <w:spacing w:lineRule="auto" w:line="312"/>
        <w:jc w:val="both"/>
        <w:rPr/>
      </w:pPr>
      <w:r>
        <w:rPr>
          <w:rFonts w:cs="Arial" w:ascii="Arial" w:hAnsi="Arial"/>
          <w:sz w:val="18"/>
          <w:szCs w:val="18"/>
        </w:rPr>
        <w:t>1. Zamawiający zobowiązany do wysyłania powiadomień do banku tkanek z istotnego zdarzenia niepożądanego (SAE) – załącznik nr 2, jeżeli takie zdarzenie wystąpiło w trakcie wykonywania procedury transplantacyjnej oraz z wystąpienia istotnej reakcji niepożądanej (SAR) – załącznik nr 3, jeżeli taka reakcja wystąpiła u biorcy przeszczepów.</w:t>
      </w:r>
    </w:p>
    <w:p>
      <w:pPr>
        <w:pStyle w:val="Normal"/>
        <w:widowControl w:val="false"/>
        <w:tabs>
          <w:tab w:val="left" w:pos="285" w:leader="none"/>
        </w:tabs>
        <w:spacing w:lineRule="auto" w:line="312"/>
        <w:jc w:val="both"/>
        <w:rPr/>
      </w:pPr>
      <w:r>
        <w:rPr>
          <w:rFonts w:cs="Arial" w:ascii="Arial" w:hAnsi="Arial"/>
          <w:sz w:val="18"/>
          <w:szCs w:val="18"/>
        </w:rPr>
        <w:t>2.  W przypadku zgłoszenia istotnego zdarzenia niepożądanego i/lub istotnej reakcji niepożądanej, Zamawiający zobowiązuje się do udostępnienia przedstawicielom banku tkanek pełnej dokumentacji związanej ze zgłaszanym SAE i/lub SAR oraz umożliwi bankowi tkanek wzięcie udziału w postępowaniu wyjaśniającym, o ile bank tkanek wyrazi taką wolę. Naruszenie powyższych zobowiązań skutkować będzie wyłączeniem odpowiedzialności odszkodowawczej banku tkanek wobec podmiotu leczniczego.</w:t>
      </w:r>
    </w:p>
    <w:p>
      <w:pPr>
        <w:pStyle w:val="Normal"/>
        <w:widowControl w:val="false"/>
        <w:numPr>
          <w:ilvl w:val="1"/>
          <w:numId w:val="9"/>
        </w:numPr>
        <w:tabs>
          <w:tab w:val="left" w:pos="285" w:leader="none"/>
        </w:tabs>
        <w:spacing w:lineRule="auto" w:line="312"/>
        <w:ind w:left="57" w:hanging="0"/>
        <w:jc w:val="both"/>
        <w:rPr/>
      </w:pPr>
      <w:r>
        <w:rPr>
          <w:rFonts w:cs="Arial" w:ascii="Arial" w:hAnsi="Arial"/>
          <w:sz w:val="18"/>
          <w:szCs w:val="18"/>
        </w:rPr>
        <w:t>Zamawiający jest zobowiązany do przestrzegania zasady, że jedno opakowanie przeszczepu jest przeznaczone dla jednego biorcy tzn. zgodnie z obowiązującymi przepisami niedopuszczalne jest dzielenie przeszczepu, przepakowywanie itp., celem zastosowania u kilku biorców. Jeżeli jednak występują wskazania medyczne to można zastosować więcej niż jedno opakowanie przeszczepów dla tego samego biorcy.</w:t>
      </w:r>
    </w:p>
    <w:p>
      <w:pPr>
        <w:pStyle w:val="Normal"/>
        <w:spacing w:lineRule="auto" w:line="312" w:before="120" w:after="0"/>
        <w:jc w:val="center"/>
        <w:rPr/>
      </w:pPr>
      <w:r>
        <w:rPr>
          <w:rFonts w:cs="Arial" w:ascii="Arial" w:hAnsi="Arial"/>
          <w:b/>
          <w:sz w:val="18"/>
          <w:szCs w:val="18"/>
        </w:rPr>
        <w:t>§ 5.</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10"/>
        </w:numPr>
        <w:tabs>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pPr>
        <w:pStyle w:val="Normal"/>
        <w:widowControl w:val="false"/>
        <w:numPr>
          <w:ilvl w:val="1"/>
          <w:numId w:val="10"/>
        </w:numPr>
        <w:tabs>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Normal"/>
        <w:widowControl w:val="false"/>
        <w:numPr>
          <w:ilvl w:val="0"/>
          <w:numId w:val="0"/>
        </w:numPr>
        <w:tabs>
          <w:tab w:val="left" w:pos="285" w:leader="none"/>
        </w:tabs>
        <w:spacing w:lineRule="auto" w:line="312"/>
        <w:ind w:left="1080" w:hanging="0"/>
        <w:jc w:val="both"/>
        <w:rPr>
          <w:rFonts w:ascii="Arial" w:hAnsi="Arial" w:cs="Arial"/>
          <w:sz w:val="18"/>
          <w:szCs w:val="18"/>
        </w:rPr>
      </w:pPr>
      <w:r>
        <w:rPr/>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pPr>
      <w:r>
        <w:rPr>
          <w:rFonts w:cs="Arial" w:ascii="Arial" w:hAnsi="Arial"/>
          <w:sz w:val="18"/>
          <w:szCs w:val="18"/>
        </w:rPr>
        <w:t>2. Załącznik nr 2 – Formularz powiadomienia banku tkanek z istotnego zdarzenia niepożądanego (SAE)</w:t>
      </w:r>
    </w:p>
    <w:p>
      <w:pPr>
        <w:pStyle w:val="Normal"/>
        <w:spacing w:lineRule="auto" w:line="312"/>
        <w:jc w:val="both"/>
        <w:rPr/>
      </w:pPr>
      <w:r>
        <w:rPr>
          <w:rFonts w:cs="Arial" w:ascii="Arial" w:hAnsi="Arial"/>
          <w:sz w:val="18"/>
          <w:szCs w:val="18"/>
        </w:rPr>
        <w:t xml:space="preserve">3. Załącznik nr 3 – Formularz  wystąpienia istotnej reakcji niepożądanej (SAR) </w:t>
      </w:r>
    </w:p>
    <w:p>
      <w:pPr>
        <w:pStyle w:val="Normal"/>
        <w:spacing w:lineRule="auto" w:line="312"/>
        <w:jc w:val="both"/>
        <w:rPr>
          <w:rFonts w:ascii="Arial" w:hAnsi="Arial" w:cs="Arial"/>
          <w:sz w:val="18"/>
          <w:szCs w:val="18"/>
        </w:rPr>
      </w:pPr>
      <w:r>
        <w:rPr>
          <w:rFonts w:cs="Arial" w:ascii="Arial" w:hAnsi="Arial"/>
          <w:sz w:val="18"/>
          <w:szCs w:val="18"/>
        </w:rPr>
      </w:r>
    </w:p>
    <w:p>
      <w:pPr>
        <w:pStyle w:val="Normal"/>
        <w:spacing w:lineRule="auto" w:line="312"/>
        <w:jc w:val="both"/>
        <w:rPr>
          <w:rFonts w:ascii="Arial" w:hAnsi="Arial" w:cs="Arial"/>
          <w:sz w:val="18"/>
          <w:szCs w:val="18"/>
        </w:rPr>
      </w:pPr>
      <w:r>
        <w:rPr>
          <w:rFonts w:cs="Arial" w:ascii="Arial" w:hAnsi="Arial"/>
          <w:sz w:val="18"/>
          <w:szCs w:val="18"/>
        </w:rPr>
      </w:r>
    </w:p>
    <w:p>
      <w:pPr>
        <w:pStyle w:val="Normal"/>
        <w:spacing w:lineRule="auto" w:line="312"/>
        <w:jc w:val="both"/>
        <w:rPr>
          <w:rFonts w:ascii="Arial" w:hAnsi="Arial" w:cs="Arial"/>
          <w:sz w:val="18"/>
          <w:szCs w:val="18"/>
        </w:rPr>
      </w:pPr>
      <w:r>
        <w:rPr>
          <w:rFonts w:cs="Arial" w:ascii="Arial" w:hAnsi="Arial"/>
          <w:sz w:val="18"/>
          <w:szCs w:val="18"/>
        </w:rPr>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7.</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cs="Arial"/>
          <w:b/>
          <w:b/>
          <w:bCs/>
          <w:i/>
          <w:i/>
          <w:sz w:val="18"/>
          <w:szCs w:val="18"/>
        </w:rPr>
      </w:pPr>
      <w:r>
        <w:rPr>
          <w:rFonts w:cs="Arial" w:ascii="Arial" w:hAnsi="Arial"/>
          <w:b/>
          <w:bCs/>
          <w:i/>
          <w:sz w:val="18"/>
          <w:szCs w:val="18"/>
        </w:rPr>
      </w:r>
    </w:p>
    <w:p>
      <w:pPr>
        <w:pStyle w:val="Normal"/>
        <w:spacing w:lineRule="auto" w:line="312"/>
        <w:jc w:val="both"/>
        <w:rPr/>
      </w:pPr>
      <w:r>
        <w:rPr>
          <w:rFonts w:cs="Arial" w:ascii="Arial" w:hAnsi="Arial"/>
          <w:sz w:val="18"/>
          <w:szCs w:val="18"/>
        </w:rPr>
        <w:t>Czas obowiązywania niniejszej umowy ustala się na okres od dnia  ………………………….. do dnia 31.12.2023</w:t>
      </w:r>
    </w:p>
    <w:p>
      <w:pPr>
        <w:pStyle w:val="Normal"/>
        <w:spacing w:lineRule="auto" w:line="312"/>
        <w:jc w:val="both"/>
        <w:rPr>
          <w:rFonts w:ascii="Arial" w:hAnsi="Arial" w:cs="Arial"/>
          <w:sz w:val="18"/>
          <w:szCs w:val="18"/>
        </w:rPr>
      </w:pPr>
      <w:r>
        <w:rPr>
          <w:rFonts w:cs="Arial" w:ascii="Arial" w:hAnsi="Arial"/>
          <w:sz w:val="18"/>
          <w:szCs w:val="18"/>
        </w:rPr>
      </w:r>
    </w:p>
    <w:p>
      <w:pPr>
        <w:pStyle w:val="Normal"/>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8.</w:t>
      </w:r>
    </w:p>
    <w:p>
      <w:pPr>
        <w:pStyle w:val="Normal"/>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7"/>
        </w:numPr>
        <w:spacing w:lineRule="auto" w:line="312"/>
        <w:ind w:left="284" w:hanging="284"/>
        <w:jc w:val="both"/>
        <w:rPr/>
      </w:pPr>
      <w:r>
        <w:rPr>
          <w:rFonts w:cs="Arial" w:ascii="Arial" w:hAnsi="Arial"/>
          <w:bCs/>
          <w:sz w:val="18"/>
          <w:szCs w:val="18"/>
          <w:lang w:eastAsia="ar-SA"/>
        </w:rPr>
        <w:t xml:space="preserve">Strony uzgadniają szacunkową wartość przedmiotu umowy w zakresie, o którym mowa § 1 pkt 2 na kwotę: </w:t>
      </w:r>
      <w:r>
        <w:rPr>
          <w:rFonts w:cs="Arial" w:ascii="Arial" w:hAnsi="Arial"/>
          <w:b/>
          <w:bCs/>
          <w:sz w:val="18"/>
          <w:szCs w:val="18"/>
          <w:lang w:eastAsia="ar-SA"/>
        </w:rPr>
        <w:t>79 100 zł</w:t>
      </w:r>
      <w:r>
        <w:rPr>
          <w:rFonts w:cs="Arial" w:ascii="Arial" w:hAnsi="Arial"/>
          <w:bCs/>
          <w:sz w:val="18"/>
          <w:szCs w:val="18"/>
          <w:lang w:eastAsia="ar-SA"/>
        </w:rPr>
        <w:t xml:space="preserve"> (słownie: siedemdziesiąt dziewięć tysięcy sto złotych). Rozliczenia między stronami odbywać się będą według kosztu przygotowania przeszczepów określonego w załączniku nr 1 do umowy.</w:t>
      </w:r>
    </w:p>
    <w:p>
      <w:pPr>
        <w:pStyle w:val="Normal"/>
        <w:numPr>
          <w:ilvl w:val="0"/>
          <w:numId w:val="7"/>
        </w:numPr>
        <w:spacing w:lineRule="auto" w:line="312"/>
        <w:ind w:left="284" w:hanging="284"/>
        <w:jc w:val="both"/>
        <w:rPr/>
      </w:pPr>
      <w:r>
        <w:rPr>
          <w:rFonts w:cs="Arial" w:ascii="Arial" w:hAnsi="Arial"/>
          <w:bCs/>
          <w:sz w:val="18"/>
          <w:szCs w:val="18"/>
          <w:lang w:eastAsia="ar-SA"/>
        </w:rPr>
        <w:t>Opłaty określone w ust.1 stanowią zwrot kosztów, o których mowa w art. 3 ust. 2 ustawy z dnia 1 lipca 2005r. o pobieraniu, przechowywaniu i przeszczepianiu komórek, tkanek i narządów (t.j.Dz.U.2020.2134). Opłaty ustalono na podstawie rozporządzenia Ministra Zdrowia z dnia 22 marca 2010r. w sprawie szczegółowego sposobu ustalania kosztów czynności związanych z pobieraniem, przechowywaniem, przetwarzaniem, sterylizacją i dystrybucją komórek, tkanek i narządów (Dz.U.2020.2365).</w:t>
      </w:r>
    </w:p>
    <w:p>
      <w:pPr>
        <w:pStyle w:val="Normal"/>
        <w:numPr>
          <w:ilvl w:val="0"/>
          <w:numId w:val="7"/>
        </w:numPr>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7"/>
        </w:numPr>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7"/>
        </w:numPr>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numPr>
          <w:ilvl w:val="0"/>
          <w:numId w:val="7"/>
        </w:numPr>
        <w:spacing w:lineRule="auto" w:line="312"/>
        <w:ind w:left="284" w:hanging="284"/>
        <w:jc w:val="both"/>
        <w:rPr>
          <w:rFonts w:ascii="Arial" w:hAnsi="Arial" w:cs="Arial"/>
          <w:sz w:val="18"/>
          <w:szCs w:val="18"/>
        </w:rPr>
      </w:pPr>
      <w:r>
        <w:rPr>
          <w:rFonts w:cs="Arial" w:ascii="Arial" w:hAnsi="Arial"/>
          <w:sz w:val="18"/>
          <w:szCs w:val="18"/>
        </w:rPr>
        <w:t>Zamawiający upoważnia bank tkanek do wystawienia faktury VAT bez podpisu podmiotu leczniczego</w:t>
      </w:r>
    </w:p>
    <w:p>
      <w:pPr>
        <w:pStyle w:val="Normal"/>
        <w:spacing w:lineRule="auto" w:line="312"/>
        <w:ind w:left="720" w:hanging="0"/>
        <w:jc w:val="both"/>
        <w:rPr>
          <w:rFonts w:ascii="Arial" w:hAnsi="Arial" w:cs="Arial"/>
          <w:sz w:val="18"/>
          <w:szCs w:val="18"/>
        </w:rPr>
      </w:pPr>
      <w:r>
        <w:rPr>
          <w:rFonts w:cs="Arial" w:ascii="Arial" w:hAnsi="Arial"/>
          <w:sz w:val="18"/>
          <w:szCs w:val="18"/>
        </w:rPr>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9.</w:t>
      </w:r>
    </w:p>
    <w:p>
      <w:pPr>
        <w:pStyle w:val="Normal"/>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left" w:pos="285" w:leader="none"/>
        </w:tabs>
        <w:spacing w:lineRule="auto" w:line="312"/>
        <w:ind w:left="284" w:hanging="284"/>
        <w:jc w:val="both"/>
        <w:rPr/>
      </w:pPr>
      <w:r>
        <w:rPr>
          <w:rFonts w:cs="Arial" w:ascii="Arial" w:hAnsi="Arial"/>
          <w:bCs/>
          <w:sz w:val="18"/>
          <w:szCs w:val="18"/>
          <w:lang w:eastAsia="ar-SA"/>
        </w:rPr>
        <w:t xml:space="preserve">Należność wskazana w § 8 ust. 1 umowy będzie regulowana przez Zamawiającego zgodnie z zamówieniami określonymi w § 2 umowy, przelewem z konta bankowego Zamawiającego na konto bankowe Wykonawcy </w:t>
      </w:r>
      <w:r>
        <w:rPr>
          <w:rFonts w:cs="Arial" w:ascii="Arial" w:hAnsi="Arial"/>
          <w:sz w:val="18"/>
          <w:szCs w:val="18"/>
          <w:lang w:eastAsia="ar-SA"/>
        </w:rPr>
        <w:t xml:space="preserve">nr …………………………………….. </w:t>
      </w:r>
      <w:r>
        <w:rPr>
          <w:rFonts w:cs="Arial" w:ascii="Arial" w:hAnsi="Arial"/>
          <w:bCs/>
          <w:sz w:val="18"/>
          <w:szCs w:val="18"/>
          <w:lang w:eastAsia="ar-SA"/>
        </w:rPr>
        <w:t>w termin</w:t>
      </w:r>
      <w:r>
        <w:rPr>
          <w:rFonts w:cs="Arial" w:ascii="Arial" w:hAnsi="Arial"/>
          <w:bCs/>
          <w:color w:val="000000"/>
          <w:sz w:val="18"/>
          <w:szCs w:val="18"/>
          <w:lang w:eastAsia="ar-SA"/>
        </w:rPr>
        <w:t>ie 6</w:t>
      </w:r>
      <w:r>
        <w:rPr>
          <w:rFonts w:cs="Arial" w:ascii="Arial" w:hAnsi="Arial"/>
          <w:color w:val="000000"/>
          <w:sz w:val="18"/>
          <w:szCs w:val="18"/>
          <w:lang w:eastAsia="ar-SA"/>
        </w:rPr>
        <w:t>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left" w:pos="345" w:leader="none"/>
        </w:tabs>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left" w:pos="285" w:leader="none"/>
        </w:tabs>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left" w:pos="285" w:leader="none"/>
        </w:tabs>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10.</w:t>
      </w:r>
    </w:p>
    <w:p>
      <w:pPr>
        <w:pStyle w:val="Normal"/>
        <w:keepNext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8"/>
        </w:numPr>
        <w:tabs>
          <w:tab w:val="left" w:pos="285" w:leader="none"/>
        </w:tabs>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8"/>
        </w:numPr>
        <w:tabs>
          <w:tab w:val="left" w:pos="285" w:leader="none"/>
        </w:tabs>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val="true"/>
        <w:spacing w:lineRule="auto" w:line="312" w:before="120" w:after="0"/>
        <w:jc w:val="center"/>
        <w:rPr>
          <w:rFonts w:ascii="Arial" w:hAnsi="Arial" w:cs="Arial"/>
          <w:b/>
          <w:b/>
          <w:i/>
          <w:i/>
          <w:sz w:val="18"/>
          <w:szCs w:val="18"/>
        </w:rPr>
      </w:pPr>
      <w:r>
        <w:rPr>
          <w:rFonts w:cs="Arial" w:ascii="Arial" w:hAnsi="Arial"/>
          <w:b/>
          <w:sz w:val="18"/>
          <w:szCs w:val="18"/>
        </w:rPr>
        <w:t>§ 11.</w:t>
      </w:r>
    </w:p>
    <w:p>
      <w:pPr>
        <w:pStyle w:val="Normal"/>
        <w:keepNext w:val="true"/>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2"/>
        </w:numPr>
        <w:tabs>
          <w:tab w:val="left" w:pos="285" w:leader="none"/>
        </w:tabs>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2"/>
        </w:numPr>
        <w:tabs>
          <w:tab w:val="left" w:pos="345" w:leader="none"/>
        </w:tabs>
        <w:spacing w:lineRule="auto" w:line="312"/>
        <w:ind w:left="284" w:hanging="284"/>
        <w:jc w:val="both"/>
        <w:rPr/>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sz w:val="18"/>
          <w:szCs w:val="18"/>
        </w:rPr>
        <w:t>miesięcy od dnia dokonania odbioru przez Zamawiającego.</w:t>
      </w:r>
      <w:r>
        <w:rPr>
          <w:rFonts w:cs="Arial" w:ascii="Arial" w:hAnsi="Arial"/>
          <w:bCs/>
          <w:sz w:val="18"/>
          <w:szCs w:val="18"/>
        </w:rPr>
        <w:t xml:space="preserve"> </w:t>
      </w:r>
    </w:p>
    <w:p>
      <w:pPr>
        <w:pStyle w:val="Normal"/>
        <w:widowControl w:val="false"/>
        <w:numPr>
          <w:ilvl w:val="0"/>
          <w:numId w:val="12"/>
        </w:numPr>
        <w:tabs>
          <w:tab w:val="left" w:pos="345" w:leader="none"/>
        </w:tabs>
        <w:spacing w:lineRule="auto" w:line="312"/>
        <w:ind w:left="284" w:hanging="284"/>
        <w:jc w:val="both"/>
        <w:rPr/>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pPr>
        <w:pStyle w:val="Normal"/>
        <w:widowControl w:val="false"/>
        <w:numPr>
          <w:ilvl w:val="0"/>
          <w:numId w:val="12"/>
        </w:numPr>
        <w:tabs>
          <w:tab w:val="left" w:pos="285" w:leader="none"/>
        </w:tabs>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2"/>
        </w:numPr>
        <w:tabs>
          <w:tab w:val="left" w:pos="285" w:leader="none"/>
        </w:tabs>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2"/>
        </w:numPr>
        <w:tabs>
          <w:tab w:val="left" w:pos="285" w:leader="none"/>
        </w:tabs>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pacing w:lineRule="auto" w:line="312" w:before="120" w:after="0"/>
        <w:jc w:val="center"/>
        <w:rPr/>
      </w:pPr>
      <w:r>
        <w:rPr/>
      </w:r>
    </w:p>
    <w:p>
      <w:pPr>
        <w:pStyle w:val="Normal"/>
        <w:spacing w:lineRule="auto" w:line="312" w:before="120" w:after="0"/>
        <w:jc w:val="center"/>
        <w:rPr/>
      </w:pPr>
      <w:r>
        <w:rPr/>
      </w:r>
    </w:p>
    <w:p>
      <w:pPr>
        <w:pStyle w:val="Normal"/>
        <w:spacing w:lineRule="auto" w:line="312" w:before="120" w:after="0"/>
        <w:jc w:val="center"/>
        <w:rPr>
          <w:rFonts w:ascii="Arial" w:hAnsi="Arial" w:cs="Arial"/>
          <w:b/>
          <w:b/>
          <w:sz w:val="18"/>
          <w:szCs w:val="18"/>
          <w:lang w:eastAsia="ar-SA"/>
        </w:rPr>
      </w:pPr>
      <w:r>
        <w:rPr>
          <w:rFonts w:cs="Arial" w:ascii="Arial" w:hAnsi="Arial"/>
          <w:b/>
          <w:sz w:val="18"/>
          <w:szCs w:val="18"/>
          <w:lang w:eastAsia="ar-SA"/>
        </w:rPr>
        <w:t>§ 12.</w:t>
      </w:r>
    </w:p>
    <w:p>
      <w:pPr>
        <w:pStyle w:val="Normal"/>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spacing w:lineRule="auto" w:line="312"/>
        <w:ind w:left="360" w:hanging="0"/>
        <w:jc w:val="both"/>
        <w:rPr/>
      </w:pPr>
      <w:r>
        <w:rPr>
          <w:rFonts w:cs="Arial" w:ascii="Arial" w:hAnsi="Arial"/>
          <w:sz w:val="18"/>
          <w:szCs w:val="18"/>
        </w:rPr>
        <w:t>tel. 71 306 44 19.</w:t>
      </w:r>
    </w:p>
    <w:p>
      <w:pPr>
        <w:pStyle w:val="Normal"/>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r>
    </w:p>
    <w:p>
      <w:pPr>
        <w:pStyle w:val="Normal"/>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val="true"/>
        <w:numPr>
          <w:ilvl w:val="0"/>
          <w:numId w:val="11"/>
        </w:numPr>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val="true"/>
        <w:keepLines/>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r>
    </w:p>
    <w:p>
      <w:pPr>
        <w:pStyle w:val="Normal"/>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keepNext w:val="true"/>
        <w:keepLines/>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numPr>
          <w:ilvl w:val="0"/>
          <w:numId w:val="5"/>
        </w:numPr>
        <w:spacing w:lineRule="auto" w:line="276"/>
        <w:rPr/>
      </w:pPr>
      <w:r>
        <w:rPr>
          <w:rFonts w:ascii="Arial" w:hAnsi="Arial"/>
          <w:color w:val="000000"/>
          <w:sz w:val="18"/>
          <w:szCs w:val="18"/>
        </w:rPr>
        <w:t xml:space="preserve"> </w:t>
      </w:r>
      <w:r>
        <w:rPr>
          <w:rFonts w:ascii="Arial" w:hAnsi="Arial"/>
          <w:color w:val="000000"/>
          <w:sz w:val="18"/>
          <w:szCs w:val="18"/>
        </w:rPr>
        <w:t>Wykonawca zapłaci Zamawiającemu następujące kary umowne:</w:t>
        <w:br/>
      </w:r>
      <w:r>
        <w:rPr>
          <w:rFonts w:ascii="Arial" w:hAnsi="Arial"/>
          <w:b/>
          <w:bCs/>
          <w:color w:val="000000"/>
          <w:sz w:val="18"/>
          <w:szCs w:val="18"/>
        </w:rPr>
        <w:t>a)</w:t>
      </w:r>
      <w:r>
        <w:rPr>
          <w:rFonts w:ascii="Arial" w:hAnsi="Arial"/>
          <w:color w:val="000000"/>
          <w:sz w:val="18"/>
          <w:szCs w:val="18"/>
        </w:rPr>
        <w:t xml:space="preserve"> w wysokości 0,2% wartości brutto niezrealizowanej w terminie dostawy produktów będących przedmiotem umowy, za każdy dzień opóźnienia w wykonaniu przedmiotu umowy w postaci dostawy produktów w terminie określonym w § 2 ust. 2, począwszy od dnia następującego po upływie terminu do dnia zrealizowania dostawy wraz z obowiązkami wynikającymi z § 3 ust. 3 umowy, zobowiązania,</w:t>
        <w:br/>
        <w:t>b</w:t>
      </w:r>
      <w:r>
        <w:rPr>
          <w:rFonts w:ascii="Arial" w:hAnsi="Arial"/>
          <w:b/>
          <w:bCs/>
          <w:color w:val="000000"/>
          <w:sz w:val="18"/>
          <w:szCs w:val="18"/>
        </w:rPr>
        <w:t>)</w:t>
      </w:r>
      <w:r>
        <w:rPr>
          <w:rFonts w:ascii="Arial" w:hAnsi="Arial"/>
          <w:color w:val="000000"/>
          <w:sz w:val="18"/>
          <w:szCs w:val="18"/>
        </w:rPr>
        <w:t xml:space="preserve"> w wysokości 0,2% wartości brutto produktów będących przedmiotem umowy, których dotyczy reklamacja, za każdy dzień zwłoki w wykonaniu zobowiązań wynikających z gwarancji i rękojmi,</w:t>
      </w:r>
    </w:p>
    <w:p>
      <w:pPr>
        <w:pStyle w:val="Normal"/>
        <w:spacing w:lineRule="auto" w:line="276"/>
        <w:ind w:left="644" w:hanging="0"/>
        <w:jc w:val="both"/>
        <w:rPr>
          <w:rFonts w:ascii="Arial" w:hAnsi="Arial"/>
          <w:color w:val="000000"/>
          <w:sz w:val="18"/>
          <w:szCs w:val="18"/>
        </w:rPr>
      </w:pPr>
      <w:r>
        <w:rPr>
          <w:rFonts w:ascii="Arial" w:hAnsi="Arial"/>
          <w:color w:val="000000"/>
          <w:sz w:val="18"/>
          <w:szCs w:val="18"/>
        </w:rPr>
        <w:t>począwszy od dnia następującego po upływie terminu do wykonania zobowiązania do dnia wykonania zobowiązania; przed naliczeniem kary umownej z tego tytułu Zamawiający wezwie Wykonawcę do prawidłowego wykonania umowy,</w:t>
      </w:r>
    </w:p>
    <w:p>
      <w:pPr>
        <w:pStyle w:val="Normal"/>
        <w:spacing w:lineRule="auto" w:line="276"/>
        <w:ind w:left="644" w:hanging="0"/>
        <w:jc w:val="both"/>
        <w:rPr/>
      </w:pPr>
      <w:r>
        <w:rPr>
          <w:rFonts w:ascii="Arial" w:hAnsi="Arial"/>
          <w:b/>
          <w:bCs/>
          <w:color w:val="000000"/>
          <w:sz w:val="18"/>
          <w:szCs w:val="18"/>
        </w:rPr>
        <w:t>c)</w:t>
      </w:r>
      <w:r>
        <w:rPr>
          <w:rFonts w:ascii="Arial" w:hAnsi="Arial"/>
          <w:color w:val="000000"/>
          <w:sz w:val="18"/>
          <w:szCs w:val="18"/>
        </w:rPr>
        <w:t xml:space="preserve"> w wysokości 10% wartości niewykorzystanej części przedmiotu umowy, wskazanej w § 8 ust. 1 niniejszej umowy, jeżeli Zamawiający odstąpi od umowy z przyczyn leżących po stronie Wykonawcy.</w:t>
      </w:r>
    </w:p>
    <w:p>
      <w:pPr>
        <w:pStyle w:val="Normal"/>
        <w:numPr>
          <w:ilvl w:val="0"/>
          <w:numId w:val="5"/>
        </w:numPr>
        <w:spacing w:lineRule="auto" w:line="276"/>
        <w:jc w:val="both"/>
        <w:rPr>
          <w:rFonts w:ascii="Arial" w:hAnsi="Arial"/>
          <w:color w:val="000000"/>
          <w:sz w:val="18"/>
          <w:szCs w:val="18"/>
        </w:rPr>
      </w:pPr>
      <w:r>
        <w:rPr>
          <w:rFonts w:ascii="Arial" w:hAnsi="Arial"/>
          <w:color w:val="000000"/>
          <w:sz w:val="18"/>
          <w:szCs w:val="18"/>
        </w:rPr>
        <w:t xml:space="preserve"> </w:t>
      </w:r>
      <w:r>
        <w:rPr>
          <w:rFonts w:ascii="Arial" w:hAnsi="Arial"/>
          <w:color w:val="000000"/>
          <w:sz w:val="18"/>
          <w:szCs w:val="18"/>
        </w:rPr>
        <w:t>Maksymalny limit kar umownych, jakie Zamawiający może naliczyć Wykonawcy, wynosi 20% wartości brutto przedmiotu umowy, wskazanej w § 8 ust. 1.</w:t>
      </w:r>
    </w:p>
    <w:p>
      <w:pPr>
        <w:pStyle w:val="Normal"/>
        <w:numPr>
          <w:ilvl w:val="0"/>
          <w:numId w:val="5"/>
        </w:numPr>
        <w:spacing w:lineRule="auto" w:line="276"/>
        <w:jc w:val="both"/>
        <w:rPr>
          <w:rFonts w:ascii="Arial" w:hAnsi="Arial"/>
          <w:color w:val="000000"/>
          <w:sz w:val="18"/>
          <w:szCs w:val="18"/>
        </w:rPr>
      </w:pPr>
      <w:r>
        <w:rPr>
          <w:rFonts w:ascii="Arial" w:hAnsi="Arial"/>
          <w:color w:val="000000"/>
          <w:sz w:val="18"/>
          <w:szCs w:val="18"/>
        </w:rPr>
        <w:t xml:space="preserve"> </w:t>
      </w:r>
      <w:r>
        <w:rPr>
          <w:rFonts w:ascii="Arial" w:hAnsi="Arial"/>
          <w:color w:val="000000"/>
          <w:sz w:val="18"/>
          <w:szCs w:val="18"/>
        </w:rPr>
        <w:t>Jeżeli szkoda przewyższa wysokość kary umownej, Zamawiającemu przysługuje prawo do dochodzenia od Wykonawcy odszkodowania przewyższającego wysokość naliczonej kary umownej.</w:t>
      </w:r>
    </w:p>
    <w:p>
      <w:pPr>
        <w:pStyle w:val="Normal"/>
        <w:keepNext w:val="true"/>
        <w:keepLines/>
        <w:widowControl w:val="false"/>
        <w:numPr>
          <w:ilvl w:val="0"/>
          <w:numId w:val="5"/>
        </w:numPr>
        <w:spacing w:lineRule="auto" w:line="276"/>
        <w:jc w:val="both"/>
        <w:rPr/>
      </w:pPr>
      <w:r>
        <w:rPr>
          <w:rFonts w:cs="Arial" w:ascii="Arial" w:hAnsi="Arial"/>
          <w:bCs/>
          <w:color w:val="000000"/>
          <w:sz w:val="18"/>
          <w:szCs w:val="18"/>
        </w:rPr>
        <w:t xml:space="preserve"> </w:t>
      </w:r>
      <w:r>
        <w:rPr>
          <w:rFonts w:cs="Arial" w:ascii="Arial" w:hAnsi="Arial"/>
          <w:bCs/>
          <w:color w:val="000000"/>
          <w:sz w:val="18"/>
          <w:szCs w:val="18"/>
        </w:rPr>
        <w:t xml:space="preserve">Wykonawca wyraża zgodę na potrącenie kar umownych z przysługującego mu wynagrodzenia </w:t>
      </w:r>
    </w:p>
    <w:p>
      <w:pPr>
        <w:pStyle w:val="Normal"/>
        <w:widowControl w:val="false"/>
        <w:numPr>
          <w:ilvl w:val="0"/>
          <w:numId w:val="5"/>
        </w:numPr>
        <w:spacing w:lineRule="auto" w:line="276"/>
        <w:jc w:val="both"/>
        <w:rPr>
          <w:rFonts w:ascii="Arial" w:hAnsi="Arial"/>
          <w:color w:val="000000"/>
          <w:sz w:val="18"/>
          <w:szCs w:val="18"/>
        </w:rPr>
      </w:pPr>
      <w:r>
        <w:rPr>
          <w:rFonts w:cs="Arial" w:ascii="Arial" w:hAnsi="Arial"/>
          <w:bCs/>
          <w:color w:val="000000"/>
          <w:sz w:val="18"/>
          <w:szCs w:val="18"/>
        </w:rPr>
        <w:t xml:space="preserve"> </w:t>
      </w:r>
      <w:r>
        <w:rPr>
          <w:rFonts w:cs="Arial" w:ascii="Arial" w:hAnsi="Arial"/>
          <w:bCs/>
          <w:color w:val="000000"/>
          <w:sz w:val="18"/>
          <w:szCs w:val="18"/>
        </w:rPr>
        <w:t xml:space="preserve">Brak szkody nie wyłącza uprawnienia do naliczenia kary umownej. </w:t>
      </w:r>
    </w:p>
    <w:p>
      <w:pPr>
        <w:pStyle w:val="Normal"/>
        <w:shd w:val="clear" w:color="000000" w:fill="FFFFFF"/>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r>
    </w:p>
    <w:p>
      <w:pPr>
        <w:pStyle w:val="Normal"/>
        <w:shd w:val="clear" w:color="000000" w:fill="FFFFFF"/>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shd w:val="clear" w:color="000000" w:fill="FFFFFF"/>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1"/>
        </w:numPr>
        <w:shd w:val="clear" w:color="000000" w:fill="FFFFFF"/>
        <w:tabs>
          <w:tab w:val="left" w:pos="345" w:leader="none"/>
        </w:tabs>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2020 r. Nr 1913). </w:t>
      </w:r>
    </w:p>
    <w:p>
      <w:pPr>
        <w:pStyle w:val="Normal"/>
        <w:shd w:val="clear" w:color="000000" w:fill="FFFFFF"/>
        <w:spacing w:lineRule="auto" w:line="312"/>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10 maja 2018</w:t>
      </w:r>
      <w:r>
        <w:rPr>
          <w:rFonts w:cs="Arial" w:ascii="Arial" w:hAnsi="Arial"/>
          <w:sz w:val="18"/>
          <w:szCs w:val="18"/>
          <w:lang w:eastAsia="ar-SA"/>
        </w:rPr>
        <w:t xml:space="preserve"> </w:t>
      </w:r>
      <w:r>
        <w:rPr>
          <w:rFonts w:cs="Arial" w:ascii="Arial" w:hAnsi="Arial"/>
          <w:spacing w:val="-2"/>
          <w:sz w:val="18"/>
          <w:szCs w:val="18"/>
          <w:lang w:eastAsia="ar-SA"/>
        </w:rPr>
        <w:t>o ochronie danych osobowych</w:t>
      </w:r>
    </w:p>
    <w:p>
      <w:pPr>
        <w:pStyle w:val="Normal"/>
        <w:shd w:val="clear" w:color="000000" w:fill="FFFFFF"/>
        <w:spacing w:lineRule="auto" w:line="312"/>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2019 r., poz. 1781 ). </w:t>
      </w:r>
    </w:p>
    <w:p>
      <w:pPr>
        <w:pStyle w:val="Normal"/>
        <w:numPr>
          <w:ilvl w:val="1"/>
          <w:numId w:val="11"/>
        </w:numPr>
        <w:shd w:val="clear" w:color="000000" w:fill="FFFFFF"/>
        <w:tabs>
          <w:tab w:val="left" w:pos="225" w:leader="none"/>
        </w:tabs>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val="true"/>
        <w:shd w:val="clear" w:color="000000" w:fill="FFFFFF"/>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17</w:t>
      </w:r>
    </w:p>
    <w:p>
      <w:pPr>
        <w:pStyle w:val="Normal"/>
        <w:keepNext w:val="true"/>
        <w:shd w:val="clear" w:color="000000" w:fill="FFFFFF"/>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spacing w:lineRule="auto" w:line="312" w:before="120" w:after="0"/>
        <w:ind w:hanging="57"/>
        <w:jc w:val="center"/>
        <w:rPr/>
      </w:pPr>
      <w:r>
        <w:rPr>
          <w:rFonts w:cs="Arial" w:ascii="Arial" w:hAnsi="Arial"/>
          <w:b/>
          <w:bCs/>
          <w:sz w:val="18"/>
          <w:szCs w:val="18"/>
          <w:lang w:eastAsia="ar-SA"/>
        </w:rPr>
        <w:t>§ 18.</w:t>
      </w:r>
    </w:p>
    <w:p>
      <w:pPr>
        <w:pStyle w:val="Normal"/>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19.</w:t>
      </w:r>
    </w:p>
    <w:p>
      <w:pPr>
        <w:pStyle w:val="Normal"/>
        <w:keepNext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header="0" w:top="567" w:footer="284" w:bottom="10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Arial">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rFonts w:ascii="Calibri" w:hAnsi="Calibri"/>
      </w:rPr>
    </w:pPr>
    <w:r>
      <w:rPr>
        <w:rFonts w:ascii="Calibri" w:hAnsi="Calibri"/>
        <w:sz w:val="18"/>
        <w:szCs w:val="18"/>
      </w:rPr>
      <w:t>Sporządziła : Anna Wojtysiak</w:t>
    </w:r>
  </w:p>
  <w:p>
    <w:pPr>
      <w:pStyle w:val="Stopka"/>
      <w:rPr>
        <w:rFonts w:ascii="Calibri" w:hAnsi="Calibri"/>
      </w:rPr>
    </w:pPr>
    <w:r>
      <w:rPr>
        <w:rFonts w:ascii="Calibri" w:hAnsi="Calibri"/>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ind w:left="644" w:hanging="360"/>
      </w:pPr>
      <w:rPr>
        <w:sz w:val="18"/>
        <w:b w:val="false"/>
        <w:bCs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ind w:left="720" w:hanging="360"/>
      </w:pPr>
      <w:rPr>
        <w:sz w:val="18"/>
        <w:b w:val="false"/>
        <w:bCs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1">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2">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trackRevisions/>
  <w:defaultTabStop w:val="720"/>
  <w:autoHyphenation w:val="false"/>
  <w:compat>
    <w:compatSetting w:name="compatibilityMode" w:uri="http://schemas.microsoft.com/office/word" w:val="12"/>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customStyle="1">
    <w:name w:val="Znaki wypunktowania"/>
    <w:qFormat/>
    <w:rPr>
      <w:rFonts w:ascii="OpenSymbol" w:hAnsi="OpenSymbol" w:eastAsia="OpenSymbol" w:cs="OpenSymbol"/>
    </w:rPr>
  </w:style>
  <w:style w:type="character" w:styleId="Numeracjawierszy">
    <w:name w:val="Numeracja wierszy"/>
    <w:rPr/>
  </w:style>
  <w:style w:type="character" w:styleId="ListLabel1">
    <w:name w:val="ListLabel 1"/>
    <w:qFormat/>
    <w:rPr>
      <w:sz w:val="18"/>
    </w:rPr>
  </w:style>
  <w:style w:type="character" w:styleId="ListLabel2">
    <w:name w:val="ListLabel 2"/>
    <w:qFormat/>
    <w:rPr>
      <w:strike w:val="false"/>
      <w:dstrike w:val="false"/>
      <w:sz w:val="18"/>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b w:val="false"/>
      <w:bCs w:val="false"/>
      <w:i w:val="false"/>
      <w:sz w:val="18"/>
    </w:rPr>
  </w:style>
  <w:style w:type="character" w:styleId="ListLabel11">
    <w:name w:val="ListLabel 11"/>
    <w:qFormat/>
    <w:rPr>
      <w:rFonts w:cs="Wingdings"/>
    </w:rPr>
  </w:style>
  <w:style w:type="character" w:styleId="ListLabel12">
    <w:name w:val="ListLabel 12"/>
    <w:qFormat/>
    <w:rPr>
      <w:rFonts w:cs="Symbol"/>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b w:val="false"/>
      <w:sz w:val="18"/>
    </w:rPr>
  </w:style>
  <w:style w:type="character" w:styleId="ListLabel19">
    <w:name w:val="ListLabel 19"/>
    <w:qFormat/>
    <w:rPr>
      <w:sz w:val="18"/>
    </w:rPr>
  </w:style>
  <w:style w:type="character" w:styleId="ListLabel20">
    <w:name w:val="ListLabel 20"/>
    <w:qFormat/>
    <w:rPr>
      <w:rFonts w:ascii="Arial" w:hAnsi="Arial"/>
      <w:b w:val="false"/>
      <w:bCs w:val="false"/>
      <w:sz w:val="18"/>
    </w:rPr>
  </w:style>
  <w:style w:type="character" w:styleId="ListLabel21">
    <w:name w:val="ListLabel 21"/>
    <w:qFormat/>
    <w:rPr>
      <w:b w:val="false"/>
      <w:bCs w:val="false"/>
      <w:sz w:val="18"/>
    </w:rPr>
  </w:style>
  <w:style w:type="character" w:styleId="ListLabel22">
    <w:name w:val="ListLabel 22"/>
    <w:qFormat/>
    <w:rPr>
      <w:rFonts w:ascii="Arial" w:hAnsi="Arial"/>
      <w:b w:val="false"/>
      <w:bCs w:val="false"/>
      <w:sz w:val="18"/>
    </w:rPr>
  </w:style>
  <w:style w:type="character" w:styleId="ListLabel23">
    <w:name w:val="ListLabel 23"/>
    <w:qFormat/>
    <w:rPr>
      <w:b w:val="false"/>
      <w:bCs w:val="false"/>
      <w:sz w:val="18"/>
    </w:rPr>
  </w:style>
  <w:style w:type="character" w:styleId="ListLabel24">
    <w:name w:val="ListLabel 24"/>
    <w:qFormat/>
    <w:rPr>
      <w:strike w:val="false"/>
      <w:dstrike w:val="false"/>
      <w:sz w:val="18"/>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strike w:val="false"/>
      <w:dstrike w:val="false"/>
      <w:sz w:val="18"/>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b w:val="false"/>
      <w:bCs w:val="false"/>
      <w:i w:val="false"/>
      <w:sz w:val="18"/>
    </w:rPr>
  </w:style>
  <w:style w:type="character" w:styleId="ListLabel41">
    <w:name w:val="ListLabel 41"/>
    <w:qFormat/>
    <w:rPr>
      <w:sz w:val="18"/>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bCs/>
      <w:sz w:val="18"/>
      <w:szCs w:val="18"/>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customStyle="1">
    <w:name w:val="Główka i stopka"/>
    <w:basedOn w:val="Normal"/>
    <w:qFormat/>
    <w:pPr/>
    <w:rPr/>
  </w:style>
  <w:style w:type="paragraph" w:styleId="Gwka">
    <w:name w:val="Header"/>
    <w:basedOn w:val="Normal"/>
    <w:link w:val="NagwekZnak"/>
    <w:uiPriority w:val="99"/>
    <w:rsid w:val="00287a46"/>
    <w:pPr>
      <w:tabs>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paragraph" w:styleId="Tekstwstpniesformatowany" w:customStyle="1">
    <w:name w:val="Tekst wstępnie sformatowany"/>
    <w:basedOn w:val="Normal"/>
    <w:qFormat/>
    <w:pPr/>
    <w:rPr/>
  </w:style>
  <w:style w:type="paragraph" w:styleId="Default" w:customStyle="1">
    <w:name w:val="Default"/>
    <w:qFormat/>
    <w:pPr>
      <w:widowControl/>
      <w:suppressAutoHyphens w:val="true"/>
      <w:bidi w:val="0"/>
      <w:spacing w:before="0" w:after="0"/>
      <w:jc w:val="left"/>
    </w:pPr>
    <w:rPr>
      <w:rFonts w:ascii="Calibri" w:hAnsi="Calibri" w:eastAsia="Calibri" w:cs="Times New Roman"/>
      <w:color w:val="000000"/>
      <w:kern w:val="0"/>
      <w:sz w:val="24"/>
      <w:szCs w:val="22"/>
      <w:lang w:val="pl-PL" w:eastAsia="pl-PL"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11693</TotalTime>
  <Application>LibreOffice/6.0.2.1$Windows_x86 LibreOffice_project/f7f06a8f319e4b62f9bc5095aa112a65d2f3ac89</Application>
  <Pages>5</Pages>
  <Words>2123</Words>
  <Characters>13884</Characters>
  <CharactersWithSpaces>15938</CharactersWithSpaces>
  <Paragraphs>131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2023-05-22T08:29:00Z</dcterms:created>
  <dc:creator>moleszko</dc:creator>
  <dc:description/>
  <dc:language>pl-PL</dc:language>
  <cp:lastModifiedBy/>
  <cp:lastPrinted>2022-11-03T10:34:00Z</cp:lastPrinted>
  <dcterms:modified xsi:type="dcterms:W3CDTF">2023-07-27T12:58:23Z</dcterms:modified>
  <cp:revision>139</cp:revision>
  <dc:subject/>
  <dc:title>PROJEKT UMOWY</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